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24B9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作品《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实践漫评 | 厉行节约 反对浪费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》</w:t>
      </w:r>
    </w:p>
    <w:p w14:paraId="4ABCA52C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配套文字说明</w:t>
      </w:r>
    </w:p>
    <w:p w14:paraId="206D7E32"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171B74C"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反对“宽松一点”</w:t>
      </w:r>
    </w:p>
    <w:p w14:paraId="0A59C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为了不过紧日子，故意将预算的标准放宽，高估公务活动成本，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什么项目都往预算里装，以图走账方便……这样的思想，看上去是为便于开展工作，实则容易造成严重的资源闲置和资金浪费，更危险的是给腐败寻租留下了口子。党政机关过紧日子，是为了百姓过好日子。把每一分钱都花在刀刃上，把真金白银省出来，把更多财政资源腾出来，用于改善基本民生和支持市场主体发展，才能真正惠民为民，赢得民心民意。</w:t>
      </w:r>
    </w:p>
    <w:p w14:paraId="78BBE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7BA7CC43"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不能有“礼”无“节” </w:t>
      </w:r>
    </w:p>
    <w:p w14:paraId="1BE35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次接待，两轮安排，超标准、高消费、超人数……违规公务接待带来的是公款吃喝、奢靡浪费，与党的性质和宗旨格格不入，与中华民族勤俭节约的优良传统背道而驰，严重破坏党和政府在人民群众心目中的形象。公务接待要刹住不良风气，热情周到的同时，也要讲规矩、守标准，决不能将公务接待异化为公款吃喝、挥霍浪费，更不能让公务接待成为腐败滋生的“温床”。</w:t>
      </w:r>
    </w:p>
    <w:p w14:paraId="4A8D9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公车私用当休矣 </w:t>
      </w:r>
    </w:p>
    <w:p w14:paraId="0C426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公”字车漆下，跑的却是“私”字的里程。这公私不分的轮子，碾过了多少纳税人的信任？公务用车本是保障正常公务出行的公器，然而在部分地方、部分人手中却异化为“不用白不用的工具”，“私人”行程屡屡用公车“买单”。中央“厉行节约、反对浪费”的号令如雷贯耳，公车姓“公”，岂容私欲腐蚀？当公车私用成了习惯，厉行节约、反对浪费便成为一纸空谈，廉洁奉公的堤坝也悄然渗漏。机关单位要管住每一辆公车，千万莫让四个轮子跑偏了方向。</w:t>
      </w:r>
    </w:p>
    <w:p w14:paraId="0747F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043F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非税收入岂能变“私房钱” </w:t>
      </w:r>
    </w:p>
    <w:p w14:paraId="0D8B4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依法取得的罚没收入、行政事业性收费、政府基金、国有资产收益和处置等非税收入，必须按规定及时足额上缴国库。《党政机关厉行节约反对浪费条例》明确规定严禁以任何形式隐瞒、截留、挤占、挪用、坐支或者私分，严禁转移到机关所属工会、培训中心、服务中心等单位账户使用。即便如此，一些机关单位、领导干部仍将非税收入视为“灵活可用”资金，打着“办事便利”的旗号巧立名目、闪转腾挪、另做他用，扰乱了财政分配秩序，降低了财政资金使用效益，助长了不正之风和腐败现象的蔓延，损害了党和政府在群众中的良好形象。 </w:t>
      </w:r>
    </w:p>
    <w:p w14:paraId="69165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清水入渠，方能奔涌向前，活水养鱼，才能生机盎然。非税收入管理明明白白、遵规守矩，才能杜绝腐败浪费，才能营造出良好的营商环境，让干事创业的“活水”涌流。</w:t>
      </w:r>
    </w:p>
    <w:p w14:paraId="5859E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86E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撕掉公款旅游“马甲”</w:t>
      </w:r>
    </w:p>
    <w:p w14:paraId="1CFF2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“严禁以任何名义和方式变相旅游”“差旅人员不得向接待单位提出正常公务活动以外的要求”……新修订的《党政机关厉行节约反对浪费条例》与时俱进完善党政机关经费管理、国内差旅、因公临时出国（境）等规定，进一步拧紧党政机关带头过紧日子的制度螺栓，扎紧“严禁公款旅游”的制度笼子。在高压震慑之下，明目张胆的公款旅游得到有效遏制。但仍需看到，有个别党员干部钻空子、搞变通，巧立名目“借壳游”、更改行程“绕道游”、移花接木“公权游”，为公款旅游穿上了各式“马甲”。但无论“马甲”怎么换，公款旅游的实质没有变，那就是贪图享乐、以权谋私，必将受到严肃惩处。 </w:t>
      </w:r>
    </w:p>
    <w:p w14:paraId="52EE8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公款姓公，一分一厘都不能乱花。花公家的钱“游山玩水”，侵蚀的不仅是财政账本，更是党风政风。唯有坚持露头就打、常抓不懈，方能彻底铲除“四风”土壤，还公务活动以清正本色。</w:t>
      </w:r>
    </w:p>
    <w:p w14:paraId="0FCB1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6BD4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给办公用房加把“廉洁锁” </w:t>
      </w:r>
    </w:p>
    <w:p w14:paraId="2F44E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“严禁超标准建设和豪华装修”“党政机关办公楼不得追求成为城市地标建筑，严禁配套建设大型广场、公园等设施”……新修订的《党政机关厉行节约反对浪费条例》态度明确，解决办公用房违规使用问题，不仅要算“经济账”，更要算好“政治账”。超面积占用、超标准装修，在少数领导干部眼中“危害不大”，甚至被视为“小节琐事”。事实上，它浪费的是财政资金，助长的是官威官气，膨胀的是钱权意识，丢掉的是节俭作风。它铺张浪费、传播奢靡风气，与党的要求背道而驰，与群众离心离德，长此以往，必然导致政绩观扭曲。 </w:t>
      </w:r>
    </w:p>
    <w:p w14:paraId="64021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在用房上清“超”，还须在思想上清“奢”。给办公用房加装“廉洁锁”，锁住私心杂念，释放勤政活力，才能警醒和激励党员干部，常破“心中贼”，以一片“公心”走好新时代的“赶考路”。</w:t>
      </w:r>
    </w:p>
    <w:p w14:paraId="14B8C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DB73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叫响节俭用餐“好食尚” </w:t>
      </w:r>
    </w:p>
    <w:p w14:paraId="56197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党政机关带头拧紧节约“螺栓”，关乎政风民风。新修订的《党政机关厉行节约反对浪费条例》明确指出，党政机关应当带头开展粮食节约行动。 </w:t>
      </w:r>
    </w:p>
    <w:p w14:paraId="40CDA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一粥一饭，当思来之不易。”节约粮食，一直以来都是中华民族的传统美德。与全国14亿人口相比，机关干部职工总数虽然不大，但社会影响巨大，无论是工作作风还是生活作风，对群众都有示范作用。作为公职人员，当树立“从我做起”的行动自觉，公务接待活动中，要坚决摒弃顾面子、讲排场的陋习，做到按需点餐，不够再添。提倡分餐取食，吃多少取多少，坚决执行“光盘行动”，引领好珍惜粮食、制止浪费的“好食尚”。</w:t>
      </w:r>
    </w:p>
    <w:p w14:paraId="0EEA4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371E0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刹住“公款追星”之风 </w:t>
      </w:r>
    </w:p>
    <w:p w14:paraId="2574C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“不得借举办活动发放各类纪念品，不得违规使用财政资金邀请名人明星参与活动。”新修订的《党政机关厉行节约反对浪费条例》对党政机关开会办展会戴上“紧箍咒”。近年来，部分地方政府在举办活动时热衷使用财政资金邀请“大腕儿”“名人”，一些贫困地区甚至也跟风“一掷千金”。这种“政府请客，百姓买单，明星发财”的模式，引发群众强烈反感。 </w:t>
      </w:r>
    </w:p>
    <w:p w14:paraId="20F55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公款追求“大明星”“大场面”，实际造成了财政资金的“大浪费”。这种浪费行为不仅脱离国情，更有悖民心，蚕食政府公信力。不得使用财政资金高价捧“明星”“大腕”，坚决刹住滥办节会演出的歪风，来得正当其时。这不仅是改进工作作风、密切联系群众，落实八项规定，整治“四风”的重要抓手，还是对文化发展进行纠偏和改正的必要手段。将钱用于实实在在的文化惠民工程，才是真正的“大智慧”。 </w:t>
      </w:r>
      <w:bookmarkStart w:id="0" w:name="_GoBack"/>
      <w:bookmarkEnd w:id="0"/>
    </w:p>
    <w:p w14:paraId="71E0A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33FE7DFE-EFEA-4058-9CEC-0545738FCFAE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1F989881-8ACD-4437-B0C7-E88A0EFBE3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C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2026-04-14T02:34:47Z</dcterms:created>
  <dc:creator>yanhan</dc:creator>
  <cp:lastModifiedBy>小满</cp:lastModifiedBy>
  <dcterms:modified xsi:type="dcterms:W3CDTF">2026-04-14T02:42:50Z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eyJoZGlkIjoiYmQ4NzlmZDc4MWMxY2RiOTczNTEzMmY2YjE1ZmJhNTQiLCJ1c2VySWQiOiI5NDY1Mjg4MTkifQ==</vt:lpwstr>
  </property>
  <property fmtid="{D5CDD505-2E9C-101B-9397-08002B2CF9AE}" pid="4" name="ICV">
    <vt:lpwstr>49A8DA5112E04812914FB1070642C2F3_12</vt:lpwstr>
  </property>
</Properties>
</file>